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Інформація про надходження та використання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бюджетних коштів за 1 квартал 2021 року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 1 квартал 2021 року дохідна частина бюджету Перещепинської міської територіального громади склала – 36 566 464,46 грн (без урахувань власних надходжень бюджетних установ), в тому числі: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загального фонду місцевого бюджету Перещепинської міської територіального громади надійшло доходів в сумі 18 915 585,24 грн, що склало 132,24 % від запланованих надходжень за 1 квартал 2021р. В порівнянні з аналогічним періодом 2020 року надходження зросли на 3 174 214,53 грн або на 20,16 %.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спеціального фонду (без урахувань трансфертів) отримано 19 088,22 грн.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Надходження дотацій (базової та додаткової) до бюджету склали 4 794 300 грн.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Субвенцій з державного та обласного бюджетів надійшло в сумі 11 837 491 грн, із них: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Освітньої субвенції – 11 806 300 грн.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Субвенції на надання державної підтримки особам з особливими освітніми потребами – 31 191,00 грн.</w:t>
      </w:r>
    </w:p>
    <w:p>
      <w:pPr>
        <w:pStyle w:val="ListParagraph"/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Власні надходження становить — 1 118 356,71 грн.</w:t>
      </w:r>
    </w:p>
    <w:p>
      <w:pPr>
        <w:pStyle w:val="ListParagraph"/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6617970" cy="37846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ListParagraph"/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/>
      </w:pPr>
      <w:r>
        <w:rPr/>
      </w:r>
    </w:p>
    <w:p>
      <w:pPr>
        <w:pStyle w:val="ListParagraph"/>
        <w:tabs>
          <w:tab w:val="clear" w:pos="720"/>
          <w:tab w:val="left" w:pos="1134" w:leader="none"/>
        </w:tabs>
        <w:spacing w:before="0" w:after="0"/>
        <w:ind w:left="0" w:right="0" w:firstLine="7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 </w:t>
      </w:r>
      <w:r>
        <w:rPr>
          <w:rFonts w:cs="Times New Roman" w:ascii="Times New Roman" w:hAnsi="Times New Roman"/>
          <w:sz w:val="28"/>
          <w:szCs w:val="28"/>
          <w:lang w:val="ru-RU"/>
        </w:rPr>
        <w:t>1 квартал 2021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проведено видатків по загального та спеціальному  фондів на загальну суму 39 209 425,69 грн, із них за рахунок субвенцій 12 585 396,07 грн. (11 790 366,07 — заробітна плата, 795 030,00 — комплект навчального обладнання для кабінету фізики). Загальний фонд — 38 214 096,28 грн, Спеціальний фонд — 995 329,41 грн., у тому числі за рахунок плати за послуги -  118 639,82 грн, власні надходження — 807 282,00 грн, інший — 69 407,59 грн.  Виконання місцевого бюджету по видаткам складає по загальному фонду складає 91,42 %. 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Видатки на утримання: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управл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іння </w:t>
      </w:r>
      <w:r>
        <w:rPr>
          <w:rFonts w:cs="Times New Roman" w:ascii="Times New Roman" w:hAnsi="Times New Roman"/>
          <w:sz w:val="28"/>
          <w:szCs w:val="28"/>
          <w:lang w:val="uk-UA"/>
        </w:rPr>
        <w:t>- 4 411 003,16 грн. що складають 11,25 % загального обсягу видатків, у тому числі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апарату міської ради — 3 869 323,10 грн, (87,7 %)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служба у справах дітей, керівництво відділу освіти — 541 680,06 грн. (12,3%)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 xml:space="preserve">освіта </w:t>
      </w:r>
      <w:r>
        <w:rPr>
          <w:rFonts w:cs="Times New Roman" w:ascii="Times New Roman" w:hAnsi="Times New Roman"/>
          <w:sz w:val="28"/>
          <w:szCs w:val="28"/>
          <w:lang w:val="uk-UA"/>
        </w:rPr>
        <w:t>— 27 151 260,95 грн.. що складають 69,25 % загального обсягу видатків, у тому числі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дошкільні заклади — 4 403372,20 грн. (16,22%)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заклади середньої освіти — 9 101 068,01 грн. (33,52 %)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заклади середньої освіти (освітня субвенція) — 11 761 127,66 грн. (43,32 %)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позашкільна освіта (ЦХЕТУМ) — 594 111,96 грн. (2,19%)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спеціальна освіта (школа мистецтв) — 514 518,77 грн. (1,90 %)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апарат відділу освіти — 747 823,84 (2,75 %)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особливі потреби (інклюзія) — 29 238,41 грн. (0,11 %)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соціальний захист населення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— 403 064,52 грн.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компенсація пільговий проїзд автомобільним транспортом — 900,00 грн. (0,22 %)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громадські роботи — 5664,52 грн. (1,41 %)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матеріальна допомога населення — 396 500,00 грн. (98,37 %)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культура і мистецтво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— 1 546 941,47 грн. (3,95 %) 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бібліотеки — 361 070,55 грн. (23,34 %)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клуби — 1 185 870,92 (76,66 %)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житлово-комунальне господарство </w:t>
      </w:r>
      <w:r>
        <w:rPr>
          <w:rFonts w:cs="Times New Roman" w:ascii="Times New Roman" w:hAnsi="Times New Roman"/>
          <w:sz w:val="28"/>
          <w:szCs w:val="28"/>
          <w:lang w:val="uk-UA"/>
        </w:rPr>
        <w:t>— 923 269,00 грн. (2,35 %)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КП “Голубівське” - 356 162,57 грн. (38,58 %)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КП “Перещепиневода — 365” - 354 000,00 грн. (38,34 %)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Благоустрій — 213 106,43 грн. (23,08 %)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будівництво освітніх закладів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— реконструкція вузла обліку газу (КЗ “Керносівський ЗОШ”) - 69 407,59 грн. (0,18 %)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міжбюджетні трансферти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— 4 704 479,00 (12,00 %)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дотації — 4 238 369,00 грн (90,09 %)</w:t>
      </w:r>
    </w:p>
    <w:p>
      <w:pPr>
        <w:pStyle w:val="Normal"/>
        <w:spacing w:before="0" w:after="0"/>
        <w:ind w:left="0" w:right="0" w:firstLine="784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субвенції — 466 110,00 (9,91 %)</w:t>
      </w:r>
    </w:p>
    <w:p>
      <w:pPr>
        <w:pStyle w:val="Normal"/>
        <w:spacing w:before="0" w:after="0"/>
        <w:ind w:left="0" w:righ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firstLine="784"/>
        <w:jc w:val="both"/>
        <w:rPr/>
      </w:pPr>
      <w:r>
        <w:rPr/>
        <w:drawing>
          <wp:inline distT="0" distB="0" distL="0" distR="0">
            <wp:extent cx="6215380" cy="311467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>При здійсненні видатків місцевого бюджету дотримано норми Бюджетного кодексу України щодо проведення фінансування в першочерговому порядку захищених статей. Із загального та спеціального фондів видатків на захищені статті спрямовано або , з яких на:</w:t>
      </w:r>
    </w:p>
    <w:p>
      <w:pPr>
        <w:pStyle w:val="ListParagraph"/>
        <w:numPr>
          <w:ilvl w:val="0"/>
          <w:numId w:val="1"/>
        </w:numPr>
        <w:spacing w:before="0" w:after="0"/>
        <w:ind w:left="851" w:right="0" w:hanging="42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виплату заробітної плати з нарахуваннями – 28043236,37 грн або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71,52%</w:t>
      </w:r>
    </w:p>
    <w:p>
      <w:pPr>
        <w:pStyle w:val="ListParagraph"/>
        <w:numPr>
          <w:ilvl w:val="0"/>
          <w:numId w:val="1"/>
        </w:numPr>
        <w:spacing w:before="0" w:after="0"/>
        <w:ind w:left="851" w:right="0" w:hanging="42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оплата комунальних послуг та енергоносіїв – 2 841 430,43 грн або 7,25%</w:t>
      </w:r>
    </w:p>
    <w:p>
      <w:pPr>
        <w:pStyle w:val="ListParagraph"/>
        <w:numPr>
          <w:ilvl w:val="0"/>
          <w:numId w:val="1"/>
        </w:numPr>
        <w:spacing w:before="0" w:after="0"/>
        <w:ind w:left="851" w:right="0" w:hanging="42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продукти харчування – 1 041 798,79 грн або 2,66 %</w:t>
      </w:r>
    </w:p>
    <w:p>
      <w:pPr>
        <w:pStyle w:val="ListParagraph"/>
        <w:numPr>
          <w:ilvl w:val="0"/>
          <w:numId w:val="1"/>
        </w:numPr>
        <w:spacing w:before="0" w:after="0"/>
        <w:ind w:left="851" w:right="0" w:hanging="42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соціальні виплати населенню – 397 400,00 грн або 1,01 %</w:t>
      </w:r>
    </w:p>
    <w:p>
      <w:pPr>
        <w:pStyle w:val="ListParagraph"/>
        <w:numPr>
          <w:ilvl w:val="0"/>
          <w:numId w:val="1"/>
        </w:numPr>
        <w:spacing w:before="0" w:after="0"/>
        <w:ind w:left="851" w:right="0" w:hanging="42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трансферти у вигляді дотації та субвенцій– 4 704 479,00 грн або 12,00 %</w:t>
      </w:r>
    </w:p>
    <w:p>
      <w:pPr>
        <w:pStyle w:val="ListParagraph"/>
        <w:numPr>
          <w:ilvl w:val="0"/>
          <w:numId w:val="1"/>
        </w:numPr>
        <w:spacing w:before="0" w:after="0"/>
        <w:ind w:left="851" w:right="0" w:hanging="42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трансферти для підтримки комунальних підприємств — 710 162,57 грн. або 1,81 %</w:t>
      </w:r>
    </w:p>
    <w:p>
      <w:pPr>
        <w:pStyle w:val="ListParagraph"/>
        <w:spacing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 незахищені статті видатків спрямовано в сумі 1 470 918,50грн або3,75 %.</w:t>
      </w:r>
    </w:p>
    <w:p>
      <w:pPr>
        <w:pStyle w:val="ListParagraph"/>
        <w:spacing w:before="0" w:after="0"/>
        <w:ind w:left="720" w:right="0" w:hanging="0"/>
        <w:contextualSpacing/>
        <w:jc w:val="both"/>
        <w:rPr/>
      </w:pPr>
      <w:r>
        <w:rPr/>
        <w:drawing>
          <wp:inline distT="0" distB="0" distL="0" distR="0">
            <wp:extent cx="6383020" cy="290957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sectPr>
      <w:type w:val="nextPage"/>
      <w:pgSz w:w="11906" w:h="16838"/>
      <w:pgMar w:left="1134" w:right="850" w:header="0" w:top="426" w:footer="0" w:bottom="82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44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Times New Roman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Times New Roman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Бюджет Перещепинської міської територіальної 
громади (ДОХОДИ) за 1 квартал 2021 р.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D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explosion val="25"/>
            <c:spPr>
              <a:solidFill>
                <a:srgbClr val="4bacc6"/>
              </a:solidFill>
              <a:ln>
                <a:noFill/>
              </a:ln>
            </c:spPr>
          </c:dPt>
          <c:dPt>
            <c:idx val="5"/>
            <c:explosion val="25"/>
            <c:spPr>
              <a:solidFill>
                <a:srgbClr val="f79646"/>
              </a:solidFill>
              <a:ln>
                <a:noFill/>
              </a:ln>
            </c:spPr>
          </c:dPt>
          <c:dLbls>
            <c:numFmt formatCode="0.0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5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6"/>
                <c:pt idx="0">
                  <c:v>Загальний фонд</c:v>
                </c:pt>
                <c:pt idx="1">
                  <c:v>Спеціальний фонд</c:v>
                </c:pt>
                <c:pt idx="2">
                  <c:v>Дотації</c:v>
                </c:pt>
                <c:pt idx="3">
                  <c:v>Освітня субвенція</c:v>
                </c:pt>
                <c:pt idx="4">
                  <c:v>Інші субвенції</c:v>
                </c:pt>
                <c:pt idx="5">
                  <c:v>Власні надходження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0.515624300097958</c:v>
                </c:pt>
                <c:pt idx="1">
                  <c:v>0.000520330190831349</c:v>
                </c:pt>
                <c:pt idx="2">
                  <c:v>0.13068892929266</c:v>
                </c:pt>
                <c:pt idx="3">
                  <c:v>0.321830654299466</c:v>
                </c:pt>
                <c:pt idx="4">
                  <c:v>0.000850242661820777</c:v>
                </c:pt>
                <c:pt idx="5">
                  <c:v>0.0304855434572642</c:v>
                </c:pt>
              </c:numCache>
            </c:numRef>
          </c:val>
        </c:ser>
      </c:pie3DChart>
    </c:plotArea>
    <c:legend>
      <c:legendPos val="l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400" spc="-1" strike="noStrike">
                <a:solidFill>
                  <a:srgbClr val="000000"/>
                </a:solidFill>
                <a:latin typeface="Arial"/>
              </a:defRPr>
            </a:pPr>
            <a:r>
              <a:rPr b="1" sz="1400" spc="-1" strike="noStrike">
                <a:solidFill>
                  <a:srgbClr val="000000"/>
                </a:solidFill>
                <a:latin typeface="Arial"/>
              </a:rPr>
              <a:t>Видатки за І квартал 2021 року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D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50"/>
          <c:dPt>
            <c:idx val="0"/>
            <c:explosion val="5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explosion val="50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explosion val="50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explosion val="50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explosion val="50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explosion val="50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explosion val="50"/>
            <c:spPr>
              <a:solidFill>
                <a:srgbClr val="314004"/>
              </a:solidFill>
              <a:ln>
                <a:noFill/>
              </a:ln>
            </c:spPr>
          </c:dPt>
          <c:dLbls>
            <c:numFmt formatCode="0.00%" sourceLinked="1"/>
            <c:dLbl>
              <c:idx val="0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4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5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6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txPr>
              <a:bodyPr/>
              <a:lstStyle/>
              <a:p>
                <a:pPr>
                  <a:defRPr b="1" sz="14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 </c:separator>
            <c:showLeaderLines val="0"/>
          </c:dLbls>
          <c:cat>
            <c:strRef>
              <c:f>categories</c:f>
              <c:strCache>
                <c:ptCount val="7"/>
                <c:pt idx="0">
                  <c:v>Державне управління</c:v>
                </c:pt>
                <c:pt idx="1">
                  <c:v>Освіта</c:v>
                </c:pt>
                <c:pt idx="2">
                  <c:v>Соціальне забезпечення</c:v>
                </c:pt>
                <c:pt idx="3">
                  <c:v>Культура і мистецтво</c:v>
                </c:pt>
                <c:pt idx="4">
                  <c:v>ЖКГ</c:v>
                </c:pt>
                <c:pt idx="5">
                  <c:v>Будівництво</c:v>
                </c:pt>
                <c:pt idx="6">
                  <c:v>Трансферти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0.112498540398795</c:v>
                </c:pt>
                <c:pt idx="1">
                  <c:v>0.692467703165687</c:v>
                </c:pt>
                <c:pt idx="2">
                  <c:v>0.0102797863755193</c:v>
                </c:pt>
                <c:pt idx="3">
                  <c:v>0.039453306004289</c:v>
                </c:pt>
                <c:pt idx="4">
                  <c:v>0.0235471186775243</c:v>
                </c:pt>
                <c:pt idx="5">
                  <c:v>0.00177017614460244</c:v>
                </c:pt>
                <c:pt idx="6">
                  <c:v>0.119983369233583</c:v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300" spc="-1" strike="noStrike">
                <a:solidFill>
                  <a:srgbClr val="000000"/>
                </a:solidFill>
                <a:latin typeface="Arial"/>
              </a:defRPr>
            </a:pPr>
            <a:r>
              <a:rPr b="1" sz="1300" spc="-1" strike="noStrike">
                <a:solidFill>
                  <a:srgbClr val="000000"/>
                </a:solidFill>
                <a:latin typeface="Arial"/>
              </a:rPr>
              <a:t>Видатки місцевого бюджету за І квартал 2021 року 
за економічною класифікацією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D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50"/>
          <c:dPt>
            <c:idx val="0"/>
            <c:explosion val="5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explosion val="50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explosion val="50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explosion val="50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explosion val="50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explosion val="50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explosion val="50"/>
            <c:spPr>
              <a:solidFill>
                <a:srgbClr val="314004"/>
              </a:solidFill>
              <a:ln>
                <a:noFill/>
              </a:ln>
            </c:spPr>
          </c:dPt>
          <c:dLbls>
            <c:numFmt formatCode="0.00%" sourceLinked="1"/>
            <c:dLbl>
              <c:idx val="0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4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5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dLbl>
              <c:idx val="6"/>
              <c:txPr>
                <a:bodyPr/>
                <a:lstStyle/>
                <a:p>
                  <a:pPr>
                    <a:defRPr b="1" sz="14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 </c:separator>
            </c:dLbl>
            <c:txPr>
              <a:bodyPr/>
              <a:lstStyle/>
              <a:p>
                <a:pPr>
                  <a:defRPr b="1" sz="14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 </c:separator>
            <c:showLeaderLines val="0"/>
          </c:dLbls>
          <c:cat>
            <c:strRef>
              <c:f>categories</c:f>
              <c:strCache>
                <c:ptCount val="7"/>
                <c:pt idx="0">
                  <c:v>Заробітна плата з нарахуваннями</c:v>
                </c:pt>
                <c:pt idx="1">
                  <c:v>Оплата комунальних послуг</c:v>
                </c:pt>
                <c:pt idx="2">
                  <c:v>Продукти харчування</c:v>
                </c:pt>
                <c:pt idx="3">
                  <c:v>Трансфетри КП</c:v>
                </c:pt>
                <c:pt idx="4">
                  <c:v>Соціальне забезпечення</c:v>
                </c:pt>
                <c:pt idx="5">
                  <c:v>Трансферти</c:v>
                </c:pt>
                <c:pt idx="6">
                  <c:v>Інші незахищені статті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0.715216708903547</c:v>
                </c:pt>
                <c:pt idx="1">
                  <c:v>0.0724680451191786</c:v>
                </c:pt>
                <c:pt idx="2">
                  <c:v>0.0265701109278349</c:v>
                </c:pt>
                <c:pt idx="3">
                  <c:v>0.0181120370294309</c:v>
                </c:pt>
                <c:pt idx="4">
                  <c:v>0.0101353180518875</c:v>
                </c:pt>
                <c:pt idx="5">
                  <c:v>0.119983369233583</c:v>
                </c:pt>
                <c:pt idx="6">
                  <c:v>0.0375144107345378</c:v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solidFill>
      <a:srgbClr val="ffffff"/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Application>Neat_Office/6.2.8.2$Windows_x86 LibreOffice_project/</Application>
  <Pages>3</Pages>
  <Words>580</Words>
  <Characters>3162</Characters>
  <CharactersWithSpaces>3733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2021-03-04T06:50:00Z</dcterms:created>
  <dc:creator>Администратор</dc:creator>
  <dc:description/>
  <dc:language>ru-RU</dc:language>
  <cp:lastModifiedBy/>
  <dcterms:modified xsi:type="dcterms:W3CDTF">2021-05-28T09:55:07Z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